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F0181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4</w:t>
      </w:r>
      <w:r>
        <w:rPr>
          <w:b/>
          <w:sz w:val="36"/>
          <w:szCs w:val="36"/>
        </w:rPr>
        <w:t>-202</w:t>
      </w:r>
      <w:r>
        <w:rPr>
          <w:rFonts w:hint="eastAsia"/>
          <w:b/>
          <w:sz w:val="36"/>
          <w:szCs w:val="36"/>
          <w:lang w:val="en-US" w:eastAsia="zh-CN"/>
        </w:rPr>
        <w:t>5</w:t>
      </w:r>
      <w:r>
        <w:rPr>
          <w:b/>
          <w:sz w:val="36"/>
          <w:szCs w:val="36"/>
        </w:rPr>
        <w:t>学年第</w:t>
      </w:r>
      <w:r>
        <w:rPr>
          <w:rFonts w:hint="eastAsia"/>
          <w:b/>
          <w:sz w:val="36"/>
          <w:szCs w:val="36"/>
          <w:lang w:eastAsia="zh-CN"/>
        </w:rPr>
        <w:t>二</w:t>
      </w:r>
      <w:r>
        <w:rPr>
          <w:b/>
          <w:sz w:val="36"/>
          <w:szCs w:val="36"/>
        </w:rPr>
        <w:t>学期《形势与政策》课程说明</w:t>
      </w:r>
    </w:p>
    <w:p w14:paraId="2207F337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1.《形势与政策》课程上课课时安排:理论专题4学时+课外实践4学时。</w:t>
      </w:r>
    </w:p>
    <w:p w14:paraId="0B198C00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2.《形势与政策》课程的理论专题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为</w:t>
      </w:r>
      <w:r>
        <w:rPr>
          <w:rFonts w:hint="eastAsia" w:asciiTheme="minorEastAsia" w:hAnsiTheme="minorEastAsia"/>
          <w:bCs/>
          <w:sz w:val="28"/>
          <w:szCs w:val="28"/>
        </w:rPr>
        <w:t>两个：</w:t>
      </w:r>
    </w:p>
    <w:p w14:paraId="44DD6608">
      <w:pPr>
        <w:spacing w:line="440" w:lineRule="exact"/>
        <w:rPr>
          <w:color w:val="000000"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一、</w:t>
      </w:r>
      <w:r>
        <w:rPr>
          <w:color w:val="000000"/>
          <w:sz w:val="28"/>
          <w:szCs w:val="28"/>
        </w:rPr>
        <w:t>《</w:t>
      </w:r>
      <w:r>
        <w:rPr>
          <w:rFonts w:hint="eastAsia"/>
          <w:color w:val="000000"/>
          <w:sz w:val="28"/>
          <w:szCs w:val="28"/>
          <w:lang w:val="en-US" w:eastAsia="zh-CN"/>
        </w:rPr>
        <w:t>建设社会主义文化强国建设</w:t>
      </w:r>
      <w:r>
        <w:rPr>
          <w:color w:val="000000"/>
          <w:sz w:val="28"/>
          <w:szCs w:val="28"/>
        </w:rPr>
        <w:t>》</w:t>
      </w:r>
    </w:p>
    <w:p w14:paraId="0B936460">
      <w:pPr>
        <w:spacing w:line="440" w:lineRule="exact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</w:t>
      </w:r>
      <w:r>
        <w:rPr>
          <w:color w:val="000000"/>
          <w:sz w:val="28"/>
          <w:szCs w:val="28"/>
        </w:rPr>
        <w:t>、</w:t>
      </w:r>
      <w:r>
        <w:rPr>
          <w:rFonts w:hint="eastAsia"/>
          <w:color w:val="000000"/>
          <w:sz w:val="28"/>
          <w:szCs w:val="28"/>
          <w:lang w:eastAsia="zh-CN"/>
        </w:rPr>
        <w:t>《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2025年“两会”政府工作报告要点学习</w:t>
      </w:r>
      <w:r>
        <w:rPr>
          <w:rFonts w:hint="eastAsia"/>
          <w:color w:val="000000"/>
          <w:sz w:val="28"/>
          <w:szCs w:val="28"/>
          <w:lang w:eastAsia="zh-CN"/>
        </w:rPr>
        <w:t>》</w:t>
      </w:r>
    </w:p>
    <w:p w14:paraId="282CF418">
      <w:pPr>
        <w:spacing w:line="440" w:lineRule="exact"/>
        <w:ind w:firstLine="700" w:firstLineChars="25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3.《形势与政策》课程的社会实践活动分为：</w:t>
      </w:r>
    </w:p>
    <w:p w14:paraId="721A9B19">
      <w:pPr>
        <w:spacing w:line="440" w:lineRule="exact"/>
        <w:ind w:firstLine="700" w:firstLineChars="250"/>
        <w:jc w:val="left"/>
        <w:rPr>
          <w:rFonts w:hint="eastAsia"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实践活动方案（一）：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“</w:t>
      </w:r>
      <w:r>
        <w:rPr>
          <w:rFonts w:hint="eastAsia"/>
          <w:color w:val="000000"/>
          <w:sz w:val="28"/>
          <w:szCs w:val="28"/>
          <w:lang w:val="en-US" w:eastAsia="zh-CN"/>
        </w:rPr>
        <w:t>聚焦社会主义文化强国建设，全力助推中华民族伟大复兴进程</w:t>
      </w:r>
      <w:r>
        <w:rPr>
          <w:rFonts w:hint="eastAsia"/>
          <w:color w:val="000000"/>
          <w:sz w:val="28"/>
          <w:szCs w:val="28"/>
          <w:lang w:eastAsia="zh-CN"/>
        </w:rPr>
        <w:t>”。</w:t>
      </w:r>
    </w:p>
    <w:p w14:paraId="2DF2464F">
      <w:pPr>
        <w:spacing w:line="420" w:lineRule="exact"/>
        <w:ind w:firstLine="700" w:firstLineChars="25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实践活动方案（二）：“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2025年“两会”政府工作报告要点学习</w:t>
      </w:r>
      <w:r>
        <w:rPr>
          <w:rFonts w:hint="eastAsia"/>
          <w:color w:val="000000"/>
          <w:sz w:val="28"/>
          <w:szCs w:val="28"/>
          <w:lang w:eastAsia="zh-CN"/>
        </w:rPr>
        <w:t>”为主题</w:t>
      </w:r>
      <w:r>
        <w:rPr>
          <w:rFonts w:hint="eastAsia"/>
          <w:color w:val="000000"/>
          <w:sz w:val="28"/>
          <w:szCs w:val="28"/>
          <w:lang w:val="en-US" w:eastAsia="zh-CN"/>
        </w:rPr>
        <w:t>，通过多种实践活动形式使学生明晰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2025年“两会”政府工作报告核心要点，并</w:t>
      </w:r>
      <w:r>
        <w:rPr>
          <w:rFonts w:hint="eastAsia"/>
          <w:color w:val="000000"/>
          <w:sz w:val="28"/>
          <w:szCs w:val="28"/>
          <w:lang w:eastAsia="zh-CN"/>
        </w:rPr>
        <w:t>撰写体裁不限的文章。</w:t>
      </w:r>
      <w:r>
        <w:rPr>
          <w:rFonts w:hint="eastAsia" w:asciiTheme="minorEastAsia" w:hAnsiTheme="minorEastAsia"/>
          <w:bCs/>
          <w:sz w:val="28"/>
          <w:szCs w:val="28"/>
        </w:rPr>
        <w:t>作业要求的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具体内容</w:t>
      </w:r>
      <w:r>
        <w:rPr>
          <w:rFonts w:hint="eastAsia" w:asciiTheme="minorEastAsia" w:hAnsiTheme="minorEastAsia"/>
          <w:bCs/>
          <w:sz w:val="28"/>
          <w:szCs w:val="28"/>
        </w:rPr>
        <w:t>参看实践活动方案（一）和实践活动方案（二）的具体要求，请同学们按时间将作业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电子版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交到各自学院</w:t>
      </w:r>
      <w:r>
        <w:rPr>
          <w:rFonts w:hint="eastAsia" w:asciiTheme="minorEastAsia" w:hAnsiTheme="minorEastAsia"/>
          <w:bCs/>
          <w:sz w:val="28"/>
          <w:szCs w:val="28"/>
        </w:rPr>
        <w:t>的办公室。</w:t>
      </w:r>
    </w:p>
    <w:p w14:paraId="1216CF3D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4.《形势与政策》课程的课程成绩构成：</w:t>
      </w:r>
    </w:p>
    <w:p w14:paraId="02E565B9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考勤+两次实践活动作业+理论专题笔记。</w:t>
      </w:r>
    </w:p>
    <w:p w14:paraId="0C1566C7">
      <w:pPr>
        <w:spacing w:line="460" w:lineRule="exac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  以上《形势与政策》课程说明、社会实践方案和作业要求、封面设计模板，均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日上传</w:t>
      </w:r>
      <w:r>
        <w:rPr>
          <w:rFonts w:hint="eastAsia" w:asciiTheme="minorEastAsia" w:hAnsiTheme="minorEastAsia"/>
          <w:bCs/>
          <w:sz w:val="28"/>
          <w:szCs w:val="28"/>
        </w:rPr>
        <w:t>的材料为主。请同学们在兰州工商学院马克思主义学院的网站上自行下载，仔细阅读按要求完成，认真做好《形势与政策》课程的学习。</w:t>
      </w:r>
    </w:p>
    <w:p w14:paraId="5CA6678D">
      <w:pPr>
        <w:spacing w:line="460" w:lineRule="exact"/>
        <w:rPr>
          <w:bCs/>
          <w:sz w:val="28"/>
          <w:szCs w:val="28"/>
        </w:rPr>
      </w:pPr>
    </w:p>
    <w:p w14:paraId="48125794">
      <w:pPr>
        <w:spacing w:line="460" w:lineRule="exact"/>
        <w:rPr>
          <w:bCs/>
          <w:sz w:val="28"/>
          <w:szCs w:val="28"/>
        </w:rPr>
      </w:pPr>
    </w:p>
    <w:p w14:paraId="03C72E04">
      <w:pPr>
        <w:spacing w:line="460" w:lineRule="exact"/>
        <w:rPr>
          <w:bCs/>
          <w:sz w:val="28"/>
          <w:szCs w:val="28"/>
        </w:rPr>
      </w:pPr>
    </w:p>
    <w:p w14:paraId="7E01F417">
      <w:pPr>
        <w:spacing w:line="460" w:lineRule="exact"/>
        <w:rPr>
          <w:bCs/>
          <w:sz w:val="28"/>
          <w:szCs w:val="28"/>
        </w:rPr>
      </w:pPr>
    </w:p>
    <w:p w14:paraId="15D6C44B">
      <w:pPr>
        <w:spacing w:line="460" w:lineRule="exact"/>
        <w:rPr>
          <w:bCs/>
          <w:sz w:val="28"/>
          <w:szCs w:val="28"/>
        </w:rPr>
      </w:pPr>
    </w:p>
    <w:p w14:paraId="5C346D36">
      <w:pPr>
        <w:spacing w:line="460" w:lineRule="exact"/>
        <w:ind w:firstLine="4060" w:firstLineChars="145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马克思主义学院形势与政策教研室</w:t>
      </w:r>
    </w:p>
    <w:p w14:paraId="5BD22271">
      <w:pPr>
        <w:spacing w:line="460" w:lineRule="exact"/>
        <w:jc w:val="righ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bookmarkEnd w:id="0"/>
    <w:p w14:paraId="0DDD1811">
      <w:pPr>
        <w:rPr>
          <w:b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264659"/>
    </w:sdtPr>
    <w:sdtContent>
      <w:p w14:paraId="1C33EFA7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4F2975FF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kMGRhNTg5N2U2MDEzODg4M2I3YmY5OTA1YzA5YjQifQ=="/>
  </w:docVars>
  <w:rsids>
    <w:rsidRoot w:val="00C96CE8"/>
    <w:rsid w:val="0017558C"/>
    <w:rsid w:val="001D51C3"/>
    <w:rsid w:val="00232E3E"/>
    <w:rsid w:val="00235483"/>
    <w:rsid w:val="002E5A91"/>
    <w:rsid w:val="00335845"/>
    <w:rsid w:val="00387A62"/>
    <w:rsid w:val="003D313A"/>
    <w:rsid w:val="003D3962"/>
    <w:rsid w:val="003E0202"/>
    <w:rsid w:val="00415187"/>
    <w:rsid w:val="0043598C"/>
    <w:rsid w:val="00480050"/>
    <w:rsid w:val="00511AE4"/>
    <w:rsid w:val="00607F0E"/>
    <w:rsid w:val="00634F92"/>
    <w:rsid w:val="00694555"/>
    <w:rsid w:val="007032C8"/>
    <w:rsid w:val="007642CD"/>
    <w:rsid w:val="007C121C"/>
    <w:rsid w:val="008845C5"/>
    <w:rsid w:val="0088661B"/>
    <w:rsid w:val="00A44B7C"/>
    <w:rsid w:val="00A852BF"/>
    <w:rsid w:val="00AA4650"/>
    <w:rsid w:val="00B1479E"/>
    <w:rsid w:val="00B85D19"/>
    <w:rsid w:val="00B9765F"/>
    <w:rsid w:val="00BC1DA7"/>
    <w:rsid w:val="00BF7EBE"/>
    <w:rsid w:val="00C2644E"/>
    <w:rsid w:val="00C4339C"/>
    <w:rsid w:val="00C96CE8"/>
    <w:rsid w:val="00CA1902"/>
    <w:rsid w:val="00CA7F4B"/>
    <w:rsid w:val="00CF6263"/>
    <w:rsid w:val="00D629C3"/>
    <w:rsid w:val="00E05018"/>
    <w:rsid w:val="00E350C3"/>
    <w:rsid w:val="00E5254B"/>
    <w:rsid w:val="00E6178C"/>
    <w:rsid w:val="00E87AF5"/>
    <w:rsid w:val="00ED2D73"/>
    <w:rsid w:val="00ED7B62"/>
    <w:rsid w:val="00F67412"/>
    <w:rsid w:val="00F9348A"/>
    <w:rsid w:val="018275D9"/>
    <w:rsid w:val="019D0DAE"/>
    <w:rsid w:val="01C369B7"/>
    <w:rsid w:val="033D0900"/>
    <w:rsid w:val="04A404C5"/>
    <w:rsid w:val="06BF5EF3"/>
    <w:rsid w:val="089F0ED6"/>
    <w:rsid w:val="096A2E01"/>
    <w:rsid w:val="097F6681"/>
    <w:rsid w:val="09950344"/>
    <w:rsid w:val="0A425497"/>
    <w:rsid w:val="0A546E48"/>
    <w:rsid w:val="0B6C4E2C"/>
    <w:rsid w:val="0CE30345"/>
    <w:rsid w:val="0CEA78D4"/>
    <w:rsid w:val="0D107A7E"/>
    <w:rsid w:val="0ED33F71"/>
    <w:rsid w:val="0F3054F5"/>
    <w:rsid w:val="104963F9"/>
    <w:rsid w:val="10826097"/>
    <w:rsid w:val="1173141A"/>
    <w:rsid w:val="129534A0"/>
    <w:rsid w:val="130102B1"/>
    <w:rsid w:val="130D5A4B"/>
    <w:rsid w:val="13AF1638"/>
    <w:rsid w:val="14267EA6"/>
    <w:rsid w:val="14C560DE"/>
    <w:rsid w:val="15055840"/>
    <w:rsid w:val="161E3AEC"/>
    <w:rsid w:val="166A5226"/>
    <w:rsid w:val="178E26F6"/>
    <w:rsid w:val="17BF2673"/>
    <w:rsid w:val="17E23377"/>
    <w:rsid w:val="17E57BB0"/>
    <w:rsid w:val="1891497A"/>
    <w:rsid w:val="192A0CF9"/>
    <w:rsid w:val="19731BC7"/>
    <w:rsid w:val="1A077697"/>
    <w:rsid w:val="1AAE5CF5"/>
    <w:rsid w:val="1AB11CD9"/>
    <w:rsid w:val="1AD86EDE"/>
    <w:rsid w:val="1B34573B"/>
    <w:rsid w:val="1BE96768"/>
    <w:rsid w:val="1BFB58D2"/>
    <w:rsid w:val="1C366F75"/>
    <w:rsid w:val="1C5F18CC"/>
    <w:rsid w:val="1C7A57B1"/>
    <w:rsid w:val="1C8C2E32"/>
    <w:rsid w:val="1E140EC3"/>
    <w:rsid w:val="1E610372"/>
    <w:rsid w:val="1E8552CF"/>
    <w:rsid w:val="1EDD069B"/>
    <w:rsid w:val="1F5A54B1"/>
    <w:rsid w:val="1FC40609"/>
    <w:rsid w:val="202B3140"/>
    <w:rsid w:val="228826F6"/>
    <w:rsid w:val="239D00AB"/>
    <w:rsid w:val="23CE31F8"/>
    <w:rsid w:val="254F33D7"/>
    <w:rsid w:val="25754C8D"/>
    <w:rsid w:val="259F2BF1"/>
    <w:rsid w:val="26C71814"/>
    <w:rsid w:val="27BB1717"/>
    <w:rsid w:val="2803104A"/>
    <w:rsid w:val="287F0C6B"/>
    <w:rsid w:val="295654E2"/>
    <w:rsid w:val="29FC6490"/>
    <w:rsid w:val="2A476345"/>
    <w:rsid w:val="2AAD3817"/>
    <w:rsid w:val="2B5733F5"/>
    <w:rsid w:val="2B877139"/>
    <w:rsid w:val="2BC12594"/>
    <w:rsid w:val="2CB852D2"/>
    <w:rsid w:val="2CBB26A1"/>
    <w:rsid w:val="2CD91AF6"/>
    <w:rsid w:val="2DC75F51"/>
    <w:rsid w:val="2E4508B7"/>
    <w:rsid w:val="2E7B483A"/>
    <w:rsid w:val="2F7F0CA4"/>
    <w:rsid w:val="2FAE0B6A"/>
    <w:rsid w:val="2FFE0E37"/>
    <w:rsid w:val="30316976"/>
    <w:rsid w:val="30AD7D5A"/>
    <w:rsid w:val="31081E62"/>
    <w:rsid w:val="31767A33"/>
    <w:rsid w:val="32320A85"/>
    <w:rsid w:val="33463CE9"/>
    <w:rsid w:val="33705855"/>
    <w:rsid w:val="33AC6A46"/>
    <w:rsid w:val="33BC5C3C"/>
    <w:rsid w:val="33D00B22"/>
    <w:rsid w:val="349C12F0"/>
    <w:rsid w:val="363A79E9"/>
    <w:rsid w:val="36BF2A20"/>
    <w:rsid w:val="38B44397"/>
    <w:rsid w:val="3A28490E"/>
    <w:rsid w:val="3C1A22FB"/>
    <w:rsid w:val="3CE11A48"/>
    <w:rsid w:val="3D07651E"/>
    <w:rsid w:val="3D57142E"/>
    <w:rsid w:val="3E5203DC"/>
    <w:rsid w:val="3E951796"/>
    <w:rsid w:val="3E9C5640"/>
    <w:rsid w:val="42E21E7B"/>
    <w:rsid w:val="42EC05AB"/>
    <w:rsid w:val="43324EC6"/>
    <w:rsid w:val="43DC36D1"/>
    <w:rsid w:val="45216AC3"/>
    <w:rsid w:val="458F50A2"/>
    <w:rsid w:val="476137DD"/>
    <w:rsid w:val="4C2A00AA"/>
    <w:rsid w:val="4C7E4738"/>
    <w:rsid w:val="4C8E68F3"/>
    <w:rsid w:val="4C8F6136"/>
    <w:rsid w:val="4CC644CC"/>
    <w:rsid w:val="4DAA7EE8"/>
    <w:rsid w:val="4E4D2119"/>
    <w:rsid w:val="4E96596E"/>
    <w:rsid w:val="506C66EF"/>
    <w:rsid w:val="518C2479"/>
    <w:rsid w:val="5220134D"/>
    <w:rsid w:val="52764A40"/>
    <w:rsid w:val="527817DB"/>
    <w:rsid w:val="558B012F"/>
    <w:rsid w:val="55ED41DC"/>
    <w:rsid w:val="56102F62"/>
    <w:rsid w:val="569A21E4"/>
    <w:rsid w:val="56B6062C"/>
    <w:rsid w:val="585E4BB5"/>
    <w:rsid w:val="59DD08DF"/>
    <w:rsid w:val="5A8B6D4A"/>
    <w:rsid w:val="5AAA5A00"/>
    <w:rsid w:val="5BC32603"/>
    <w:rsid w:val="5C6D7308"/>
    <w:rsid w:val="5CA77150"/>
    <w:rsid w:val="5CBC052D"/>
    <w:rsid w:val="5E9C48AD"/>
    <w:rsid w:val="5EE5440E"/>
    <w:rsid w:val="60AF3D6F"/>
    <w:rsid w:val="60BD5BB6"/>
    <w:rsid w:val="62266582"/>
    <w:rsid w:val="635E7DA0"/>
    <w:rsid w:val="64CA3B31"/>
    <w:rsid w:val="65B83DA6"/>
    <w:rsid w:val="65E673AF"/>
    <w:rsid w:val="683171B3"/>
    <w:rsid w:val="6A0C586E"/>
    <w:rsid w:val="6B0801E6"/>
    <w:rsid w:val="6B9F7FC4"/>
    <w:rsid w:val="6CF12404"/>
    <w:rsid w:val="6E231DA2"/>
    <w:rsid w:val="6EB11A17"/>
    <w:rsid w:val="6EC65A4A"/>
    <w:rsid w:val="6F0E56D6"/>
    <w:rsid w:val="709B3C0F"/>
    <w:rsid w:val="70A052FE"/>
    <w:rsid w:val="714A31BA"/>
    <w:rsid w:val="746E3402"/>
    <w:rsid w:val="74B162E7"/>
    <w:rsid w:val="74E81499"/>
    <w:rsid w:val="74F83538"/>
    <w:rsid w:val="750A4F6D"/>
    <w:rsid w:val="75B06ACE"/>
    <w:rsid w:val="76105050"/>
    <w:rsid w:val="76270E29"/>
    <w:rsid w:val="77D22A35"/>
    <w:rsid w:val="78081940"/>
    <w:rsid w:val="78535F4B"/>
    <w:rsid w:val="78914DDE"/>
    <w:rsid w:val="79583FB2"/>
    <w:rsid w:val="79D25BC4"/>
    <w:rsid w:val="7A131A55"/>
    <w:rsid w:val="7B4E2B7F"/>
    <w:rsid w:val="7C291594"/>
    <w:rsid w:val="7C6758ED"/>
    <w:rsid w:val="7DB836A7"/>
    <w:rsid w:val="7ECF6B51"/>
    <w:rsid w:val="7EDE64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